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color w:val="ff0000"/>
          <w:szCs w:val="28"/>
          <w:lang w:val="en-GB"/>
        </w:rPr>
      </w:pPr>
      <w:r>
        <w:rPr>
          <w:rFonts w:ascii="PT Astra Serif" w:hAnsi="PT Astra Serif"/>
          <w:color w:val="ff0000"/>
          <w:szCs w:val="28"/>
          <w:lang w:val="en-GB"/>
        </w:rPr>
      </w:r>
      <w:r>
        <w:rPr>
          <w:rFonts w:ascii="PT Astra Serif" w:hAnsi="PT Astra Serif"/>
          <w:color w:val="ff0000"/>
          <w:szCs w:val="28"/>
          <w:lang w:val="en-GB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757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внесении изменений в постановление Алтайского краевого Законодательного Собрания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от </w:t>
            </w:r>
            <w:r>
              <w:rPr>
                <w:rFonts w:ascii="PT Astra Serif" w:hAnsi="PT Astra Serif"/>
                <w:szCs w:val="28"/>
              </w:rPr>
              <w:br/>
            </w:r>
            <w:r>
              <w:rPr>
                <w:rFonts w:ascii="PT Astra Serif" w:hAnsi="PT Astra Serif"/>
                <w:szCs w:val="28"/>
              </w:rPr>
              <w:t xml:space="preserve">1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ноября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2024</w:t>
            </w:r>
            <w:r>
              <w:rPr>
                <w:rFonts w:ascii="PT Astra Serif" w:hAnsi="PT Astra Serif"/>
                <w:szCs w:val="28"/>
              </w:rPr>
              <w:t xml:space="preserve"> года № 272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«О проекте закона Алтайского края «О краевом бюджете на </w:t>
            </w:r>
            <w:r>
              <w:rPr>
                <w:rFonts w:ascii="PT Astra Serif" w:hAnsi="PT Astra Serif"/>
                <w:szCs w:val="28"/>
              </w:rPr>
              <w:t xml:space="preserve">2025</w:t>
            </w:r>
            <w:r>
              <w:rPr>
                <w:rFonts w:ascii="PT Astra Serif" w:hAnsi="PT Astra Serif"/>
                <w:szCs w:val="28"/>
              </w:rPr>
              <w:t xml:space="preserve"> год и на плановый период </w:t>
            </w:r>
            <w:r>
              <w:rPr>
                <w:rFonts w:ascii="PT Astra Serif" w:hAnsi="PT Astra Serif"/>
                <w:szCs w:val="28"/>
              </w:rPr>
              <w:t xml:space="preserve">2026</w:t>
            </w:r>
            <w:r>
              <w:rPr>
                <w:rFonts w:ascii="PT Astra Serif" w:hAnsi="PT Astra Serif"/>
                <w:szCs w:val="28"/>
              </w:rPr>
              <w:t xml:space="preserve"> и </w:t>
            </w:r>
            <w:r>
              <w:rPr>
                <w:rFonts w:ascii="PT Astra Serif" w:hAnsi="PT Astra Serif"/>
                <w:szCs w:val="28"/>
              </w:rPr>
              <w:t xml:space="preserve">2027</w:t>
            </w:r>
            <w:r>
              <w:rPr>
                <w:rFonts w:ascii="PT Astra Serif" w:hAnsi="PT Astra Serif"/>
                <w:szCs w:val="28"/>
              </w:rPr>
              <w:t xml:space="preserve"> годов»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766"/>
        <w:contextualSpacing/>
        <w:ind w:firstLine="720"/>
        <w:jc w:val="both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Рассмотрев повторно в первом чтении проект закона Алтайского края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краевом бюджете на </w:t>
      </w:r>
      <w:r>
        <w:rPr>
          <w:rFonts w:ascii="PT Astra Serif" w:hAnsi="PT Astra Serif"/>
          <w:sz w:val="28"/>
          <w:szCs w:val="28"/>
        </w:rPr>
        <w:t xml:space="preserve">2025</w:t>
      </w:r>
      <w:r>
        <w:rPr>
          <w:rFonts w:ascii="PT Astra Serif" w:hAnsi="PT Astra Serif"/>
          <w:sz w:val="28"/>
          <w:szCs w:val="28"/>
        </w:rPr>
        <w:t xml:space="preserve"> год и на плановый период </w:t>
      </w:r>
      <w:r>
        <w:rPr>
          <w:rFonts w:ascii="PT Astra Serif" w:hAnsi="PT Astra Serif"/>
          <w:sz w:val="28"/>
          <w:szCs w:val="28"/>
        </w:rPr>
        <w:t xml:space="preserve">2026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2027</w:t>
      </w:r>
      <w:r>
        <w:rPr>
          <w:rFonts w:ascii="PT Astra Serif" w:hAnsi="PT Astra Serif"/>
          <w:sz w:val="28"/>
          <w:szCs w:val="28"/>
        </w:rPr>
        <w:t xml:space="preserve"> годов»,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766"/>
        <w:contextualSpacing/>
        <w:ind w:firstLine="720"/>
        <w:jc w:val="both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766"/>
        <w:contextualSpacing/>
        <w:ind w:firstLine="720"/>
        <w:jc w:val="both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</w:t>
      </w:r>
      <w:r>
        <w:rPr>
          <w:rFonts w:ascii="PT Astra Serif" w:hAnsi="PT Astra Serif" w:cs="Times New Roman"/>
          <w:bCs/>
          <w:sz w:val="28"/>
          <w:szCs w:val="28"/>
        </w:rPr>
        <w:t xml:space="preserve"> </w:t>
      </w:r>
      <w:r>
        <w:rPr>
          <w:rFonts w:ascii="PT Astra Serif" w:hAnsi="PT Astra Serif" w:cs="Times New Roman"/>
          <w:bCs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 xml:space="preserve">постановление Алтайского краевого Законодательного </w:t>
      </w:r>
      <w:r>
        <w:rPr>
          <w:rFonts w:ascii="PT Astra Serif" w:hAnsi="PT Astra Serif"/>
          <w:sz w:val="28"/>
          <w:szCs w:val="28"/>
        </w:rPr>
        <w:t xml:space="preserve">Собрания </w:t>
      </w:r>
      <w:r>
        <w:rPr>
          <w:rFonts w:ascii="PT Astra Serif" w:hAnsi="PT Astra Serif"/>
          <w:sz w:val="28"/>
          <w:szCs w:val="28"/>
        </w:rPr>
        <w:t xml:space="preserve">от</w:t>
      </w:r>
      <w:bookmarkStart w:id="0" w:name="_GoBack"/>
      <w:r/>
      <w:bookmarkEnd w:id="0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ноября </w:t>
      </w:r>
      <w:r>
        <w:rPr>
          <w:rFonts w:ascii="PT Astra Serif" w:hAnsi="PT Astra Serif"/>
          <w:sz w:val="28"/>
          <w:szCs w:val="28"/>
        </w:rPr>
        <w:t xml:space="preserve">2024</w:t>
      </w:r>
      <w:r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 xml:space="preserve">272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«О проекте закона Алтайского края</w:t>
      </w:r>
      <w:r>
        <w:rPr>
          <w:rFonts w:ascii="PT Astra Serif" w:hAnsi="PT Astra Serif" w:cs="Times New Roman"/>
          <w:bCs/>
          <w:sz w:val="28"/>
          <w:szCs w:val="28"/>
        </w:rPr>
        <w:br/>
        <w:t xml:space="preserve">«О краевом бюджете на </w:t>
      </w:r>
      <w:r>
        <w:rPr>
          <w:rFonts w:ascii="PT Astra Serif" w:hAnsi="PT Astra Serif" w:cs="Times New Roman"/>
          <w:bCs/>
          <w:sz w:val="28"/>
          <w:szCs w:val="28"/>
        </w:rPr>
        <w:t xml:space="preserve">2025</w:t>
      </w:r>
      <w:r>
        <w:rPr>
          <w:rFonts w:ascii="PT Astra Serif" w:hAnsi="PT Astra Serif" w:cs="Times New Roman"/>
          <w:bCs/>
          <w:sz w:val="28"/>
          <w:szCs w:val="28"/>
        </w:rPr>
        <w:t xml:space="preserve"> год и на плановый период </w:t>
      </w:r>
      <w:r>
        <w:rPr>
          <w:rFonts w:ascii="PT Astra Serif" w:hAnsi="PT Astra Serif" w:cs="Times New Roman"/>
          <w:bCs/>
          <w:sz w:val="28"/>
          <w:szCs w:val="28"/>
        </w:rPr>
        <w:t xml:space="preserve">2026</w:t>
      </w:r>
      <w:r>
        <w:rPr>
          <w:rFonts w:ascii="PT Astra Serif" w:hAnsi="PT Astra Serif" w:cs="Times New Roman"/>
          <w:bCs/>
          <w:sz w:val="28"/>
          <w:szCs w:val="28"/>
        </w:rPr>
        <w:t xml:space="preserve"> и </w:t>
      </w:r>
      <w:r>
        <w:rPr>
          <w:rFonts w:ascii="PT Astra Serif" w:hAnsi="PT Astra Serif" w:cs="Times New Roman"/>
          <w:bCs/>
          <w:sz w:val="28"/>
          <w:szCs w:val="28"/>
        </w:rPr>
        <w:t xml:space="preserve">2027</w:t>
      </w:r>
      <w:r>
        <w:rPr>
          <w:rFonts w:ascii="PT Astra Serif" w:hAnsi="PT Astra Serif" w:cs="Times New Roman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 w:cs="Times New Roman"/>
          <w:bCs/>
          <w:sz w:val="28"/>
          <w:szCs w:val="28"/>
        </w:rPr>
        <w:t xml:space="preserve">следующие изменения:</w:t>
      </w:r>
      <w:r>
        <w:rPr>
          <w:rFonts w:ascii="PT Astra Serif" w:hAnsi="PT Astra Serif"/>
          <w:sz w:val="28"/>
          <w:szCs w:val="28"/>
        </w:rPr>
      </w:r>
    </w:p>
    <w:p>
      <w:pPr>
        <w:pStyle w:val="766"/>
        <w:contextualSpacing/>
        <w:ind w:firstLine="720"/>
        <w:jc w:val="both"/>
        <w:widowControl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1) пункт 3 изложить в следующей редакции:</w:t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276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«3. </w:t>
      </w:r>
      <w:r>
        <w:rPr>
          <w:rFonts w:ascii="PT Astra Serif" w:hAnsi="PT Astra Serif"/>
          <w:szCs w:val="28"/>
        </w:rPr>
        <w:t xml:space="preserve">Утвердить основные характеристики краевого бюджета на </w:t>
      </w:r>
      <w:r>
        <w:rPr>
          <w:rFonts w:ascii="PT Astra Serif" w:hAnsi="PT Astra Serif"/>
          <w:szCs w:val="28"/>
        </w:rPr>
        <w:br/>
      </w:r>
      <w:r>
        <w:rPr>
          <w:rFonts w:ascii="PT Astra Serif" w:hAnsi="PT Astra Serif"/>
          <w:szCs w:val="28"/>
        </w:rPr>
        <w:t xml:space="preserve">2025</w:t>
      </w:r>
      <w:r>
        <w:rPr>
          <w:rFonts w:ascii="PT Astra Serif" w:hAnsi="PT Astra Serif"/>
          <w:szCs w:val="28"/>
        </w:rPr>
        <w:t xml:space="preserve"> год: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 прогнозируемый </w:t>
      </w:r>
      <w:r>
        <w:rPr>
          <w:rFonts w:ascii="PT Astra Serif" w:hAnsi="PT Astra Serif"/>
          <w:szCs w:val="28"/>
        </w:rPr>
        <w:t xml:space="preserve">общий объем доходов краевого бюджета в сумме </w:t>
      </w:r>
      <w:r>
        <w:rPr>
          <w:rFonts w:ascii="PT Astra Serif" w:hAnsi="PT Astra Serif"/>
          <w:szCs w:val="28"/>
        </w:rPr>
        <w:br/>
      </w:r>
      <w:r>
        <w:rPr>
          <w:rFonts w:ascii="PT Astra Serif" w:hAnsi="PT Astra Serif"/>
          <w:szCs w:val="28"/>
        </w:rPr>
        <w:t xml:space="preserve">180267845,6</w:t>
      </w:r>
      <w:r>
        <w:rPr>
          <w:rFonts w:ascii="PT Astra Serif" w:hAnsi="PT Astra Serif"/>
          <w:szCs w:val="28"/>
        </w:rPr>
        <w:t xml:space="preserve"> тыс. </w:t>
      </w:r>
      <w:r>
        <w:rPr>
          <w:rFonts w:ascii="PT Astra Serif" w:hAnsi="PT Astra Serif"/>
          <w:szCs w:val="28"/>
        </w:rPr>
        <w:t xml:space="preserve">рублей, в том числе объем налоговых и неналоговых доходов </w:t>
      </w:r>
      <w:r>
        <w:rPr>
          <w:rFonts w:ascii="PT Astra Serif" w:hAnsi="PT Astra Serif"/>
          <w:szCs w:val="28"/>
        </w:rPr>
        <w:br/>
        <w:t xml:space="preserve">в сумме </w:t>
      </w:r>
      <w:r>
        <w:rPr>
          <w:rFonts w:ascii="PT Astra Serif" w:hAnsi="PT Astra Serif"/>
          <w:szCs w:val="28"/>
        </w:rPr>
        <w:t xml:space="preserve">112199798,4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тыс. рублей, прогнозируемый объем межбюджетных трансфертов, получаемых из бюджетов других уровней, в сумме </w:t>
      </w:r>
      <w:r>
        <w:rPr>
          <w:rFonts w:ascii="PT Astra Serif" w:hAnsi="PT Astra Serif"/>
          <w:szCs w:val="28"/>
        </w:rPr>
        <w:br/>
      </w:r>
      <w:r>
        <w:rPr>
          <w:rFonts w:ascii="PT Astra Serif" w:hAnsi="PT Astra Serif"/>
          <w:szCs w:val="28"/>
        </w:rPr>
        <w:t xml:space="preserve">68068047,2</w:t>
      </w:r>
      <w:r>
        <w:rPr>
          <w:rFonts w:ascii="PT Astra Serif" w:hAnsi="PT Astra Serif"/>
          <w:szCs w:val="28"/>
        </w:rPr>
        <w:t xml:space="preserve"> тыс. рублей;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 общий </w:t>
      </w:r>
      <w:r>
        <w:rPr>
          <w:rFonts w:ascii="PT Astra Serif" w:hAnsi="PT Astra Serif"/>
          <w:szCs w:val="28"/>
        </w:rPr>
        <w:t xml:space="preserve">объем расходов краевого бюджета в </w:t>
      </w:r>
      <w:r>
        <w:rPr>
          <w:rFonts w:ascii="PT Astra Serif" w:hAnsi="PT Astra Serif"/>
          <w:szCs w:val="28"/>
        </w:rPr>
        <w:t xml:space="preserve">сумме </w:t>
      </w:r>
      <w:r>
        <w:rPr>
          <w:rFonts w:ascii="PT Astra Serif" w:hAnsi="PT Astra Serif"/>
          <w:szCs w:val="28"/>
        </w:rPr>
        <w:t xml:space="preserve">192382942,4 </w:t>
      </w:r>
      <w:r>
        <w:rPr>
          <w:rFonts w:ascii="PT Astra Serif" w:hAnsi="PT Astra Serif"/>
          <w:szCs w:val="28"/>
        </w:rPr>
        <w:t xml:space="preserve">тыс</w:t>
      </w:r>
      <w:r>
        <w:rPr>
          <w:rFonts w:ascii="PT Astra Serif" w:hAnsi="PT Astra Serif"/>
          <w:szCs w:val="28"/>
        </w:rPr>
        <w:t xml:space="preserve">. рублей;</w:t>
      </w:r>
      <w:r>
        <w:rPr>
          <w:rFonts w:ascii="PT Astra Serif" w:hAnsi="PT Astra Serif"/>
          <w:szCs w:val="28"/>
        </w:rPr>
      </w:r>
    </w:p>
    <w:p>
      <w:pPr>
        <w:pStyle w:val="766"/>
        <w:contextualSpacing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 дефицит краевого бюджета в </w:t>
      </w:r>
      <w:r>
        <w:rPr>
          <w:rFonts w:ascii="PT Astra Serif" w:hAnsi="PT Astra Serif" w:cs="Times New Roman"/>
          <w:sz w:val="28"/>
          <w:szCs w:val="28"/>
        </w:rPr>
        <w:t xml:space="preserve">сумме </w:t>
      </w:r>
      <w:r>
        <w:rPr>
          <w:rFonts w:ascii="PT Astra Serif" w:hAnsi="PT Astra Serif" w:cs="Times New Roman"/>
          <w:sz w:val="28"/>
          <w:szCs w:val="28"/>
        </w:rPr>
        <w:t xml:space="preserve">12115096,8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тыс</w:t>
      </w:r>
      <w:r>
        <w:rPr>
          <w:rFonts w:ascii="PT Astra Serif" w:hAnsi="PT Astra Serif" w:cs="Times New Roman"/>
          <w:sz w:val="28"/>
          <w:szCs w:val="28"/>
        </w:rPr>
        <w:t xml:space="preserve">. рублей.»;</w:t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766"/>
        <w:contextualSpacing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 пункт 5 изложить в следующей редакции:</w:t>
      </w:r>
      <w:r>
        <w:rPr>
          <w:rFonts w:ascii="PT Astra Serif" w:hAnsi="PT Astra Serif"/>
          <w:szCs w:val="28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«5. Утвердить основные характеристики краевого бюджета на плановый период </w:t>
      </w:r>
      <w:r>
        <w:rPr>
          <w:rFonts w:ascii="PT Astra Serif" w:hAnsi="PT Astra Serif"/>
          <w:szCs w:val="28"/>
        </w:rPr>
        <w:t xml:space="preserve">2026</w:t>
      </w:r>
      <w:r>
        <w:rPr>
          <w:rFonts w:ascii="PT Astra Serif" w:hAnsi="PT Astra Serif"/>
          <w:szCs w:val="28"/>
        </w:rPr>
        <w:t xml:space="preserve"> и </w:t>
      </w:r>
      <w:r>
        <w:rPr>
          <w:rFonts w:ascii="PT Astra Serif" w:hAnsi="PT Astra Serif"/>
          <w:szCs w:val="28"/>
        </w:rPr>
        <w:t xml:space="preserve">2027</w:t>
      </w:r>
      <w:r>
        <w:rPr>
          <w:rFonts w:ascii="PT Astra Serif" w:hAnsi="PT Astra Serif"/>
          <w:szCs w:val="28"/>
        </w:rPr>
        <w:t xml:space="preserve"> годов: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 </w:t>
      </w:r>
      <w:r>
        <w:rPr>
          <w:rFonts w:ascii="PT Astra Serif" w:hAnsi="PT Astra Serif"/>
          <w:szCs w:val="28"/>
        </w:rPr>
        <w:t xml:space="preserve">прогнозируемый общий объем доходов краевого бюджета на </w:t>
      </w:r>
      <w:r>
        <w:rPr>
          <w:rFonts w:ascii="PT Astra Serif" w:hAnsi="PT Astra Serif"/>
          <w:szCs w:val="28"/>
        </w:rPr>
        <w:t xml:space="preserve">2026</w:t>
      </w:r>
      <w:r>
        <w:rPr>
          <w:rFonts w:ascii="PT Astra Serif" w:hAnsi="PT Astra Serif"/>
          <w:szCs w:val="28"/>
        </w:rPr>
        <w:t xml:space="preserve"> год </w:t>
      </w:r>
      <w:r>
        <w:rPr>
          <w:rFonts w:ascii="PT Astra Serif" w:hAnsi="PT Astra Serif"/>
          <w:szCs w:val="28"/>
        </w:rPr>
        <w:br/>
      </w:r>
      <w:r>
        <w:rPr>
          <w:rFonts w:ascii="PT Astra Serif" w:hAnsi="PT Astra Serif"/>
          <w:szCs w:val="28"/>
        </w:rPr>
        <w:t xml:space="preserve">в </w:t>
      </w:r>
      <w:r>
        <w:rPr>
          <w:rFonts w:ascii="PT Astra Serif" w:hAnsi="PT Astra Serif"/>
          <w:szCs w:val="28"/>
        </w:rPr>
        <w:t xml:space="preserve">сумме </w:t>
      </w:r>
      <w:r>
        <w:rPr>
          <w:rFonts w:ascii="PT Astra Serif" w:hAnsi="PT Astra Serif"/>
          <w:szCs w:val="28"/>
        </w:rPr>
        <w:t xml:space="preserve">175894163,9</w:t>
      </w:r>
      <w:r>
        <w:rPr>
          <w:rFonts w:ascii="PT Astra Serif" w:hAnsi="PT Astra Serif"/>
          <w:szCs w:val="28"/>
        </w:rPr>
        <w:t xml:space="preserve"> тыс. </w:t>
      </w:r>
      <w:r>
        <w:rPr>
          <w:rFonts w:ascii="PT Astra Serif" w:hAnsi="PT Astra Serif"/>
          <w:szCs w:val="28"/>
        </w:rPr>
        <w:t xml:space="preserve">рублей, в том числе объем налоговых и неналоговых доходов </w:t>
      </w:r>
      <w:r>
        <w:rPr>
          <w:rFonts w:ascii="PT Astra Serif" w:hAnsi="PT Astra Serif"/>
          <w:szCs w:val="28"/>
        </w:rPr>
        <w:t xml:space="preserve">– </w:t>
      </w:r>
      <w:r>
        <w:rPr>
          <w:rFonts w:ascii="PT Astra Serif" w:hAnsi="PT Astra Serif"/>
          <w:szCs w:val="28"/>
        </w:rPr>
        <w:t xml:space="preserve">119549552,1</w:t>
      </w:r>
      <w:r>
        <w:rPr>
          <w:rFonts w:ascii="PT Astra Serif" w:hAnsi="PT Astra Serif"/>
          <w:szCs w:val="28"/>
        </w:rPr>
        <w:t xml:space="preserve"> тыс. </w:t>
      </w:r>
      <w:r>
        <w:rPr>
          <w:rFonts w:ascii="PT Astra Serif" w:hAnsi="PT Astra Serif"/>
          <w:szCs w:val="28"/>
        </w:rPr>
        <w:t xml:space="preserve">рублей, прогнозируемый объем межбюджетных трансфертов, получаемых из бюджетов других уровней, </w:t>
      </w:r>
      <w:r>
        <w:rPr>
          <w:rFonts w:ascii="PT Astra Serif" w:hAnsi="PT Astra Serif"/>
          <w:szCs w:val="28"/>
        </w:rPr>
        <w:t xml:space="preserve">- </w:t>
      </w:r>
      <w:r>
        <w:rPr>
          <w:rFonts w:ascii="PT Astra Serif" w:hAnsi="PT Astra Serif"/>
          <w:szCs w:val="28"/>
        </w:rPr>
        <w:t xml:space="preserve">56344611,8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тыс. рублей, и на 2027</w:t>
      </w:r>
      <w:r>
        <w:rPr>
          <w:rFonts w:ascii="PT Astra Serif" w:hAnsi="PT Astra Serif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 xml:space="preserve">177298699,7</w:t>
      </w:r>
      <w:r>
        <w:rPr>
          <w:rFonts w:ascii="PT Astra Serif" w:hAnsi="PT Astra Serif"/>
          <w:szCs w:val="28"/>
        </w:rPr>
        <w:t xml:space="preserve"> тыс. </w:t>
      </w:r>
      <w:r>
        <w:rPr>
          <w:rFonts w:ascii="PT Astra Serif" w:hAnsi="PT Astra Serif"/>
          <w:szCs w:val="28"/>
        </w:rPr>
        <w:t xml:space="preserve">рублей, в том числе объем налоговых и неналоговых доходов - </w:t>
      </w:r>
      <w:r>
        <w:rPr>
          <w:rFonts w:ascii="PT Astra Serif" w:hAnsi="PT Astra Serif"/>
          <w:szCs w:val="28"/>
        </w:rPr>
        <w:t xml:space="preserve">124472286,0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тыс. рублей, прогнозируемый </w:t>
      </w:r>
      <w:r>
        <w:rPr>
          <w:rFonts w:ascii="PT Astra Serif" w:hAnsi="PT Astra Serif"/>
          <w:szCs w:val="28"/>
        </w:rPr>
        <w:t xml:space="preserve">объем  межбюджетных  трансфертов, получаемых из бюджетов других уровней, </w:t>
      </w:r>
      <w:r>
        <w:rPr>
          <w:rFonts w:ascii="PT Astra Serif" w:hAnsi="PT Astra Serif"/>
          <w:szCs w:val="28"/>
        </w:rPr>
        <w:noBreakHyphen/>
        <w:t xml:space="preserve"> </w:t>
      </w:r>
      <w:r>
        <w:rPr>
          <w:rFonts w:ascii="PT Astra Serif" w:hAnsi="PT Astra Serif"/>
          <w:szCs w:val="28"/>
        </w:rPr>
        <w:t xml:space="preserve">52826413,7</w:t>
      </w:r>
      <w:r>
        <w:rPr>
          <w:rFonts w:ascii="PT Astra Serif" w:hAnsi="PT Astra Serif"/>
          <w:szCs w:val="28"/>
        </w:rPr>
        <w:t xml:space="preserve"> тыс. рублей; </w:t>
      </w:r>
      <w:r>
        <w:rPr>
          <w:rFonts w:ascii="PT Astra Serif" w:hAnsi="PT Astra Serif"/>
          <w:szCs w:val="28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  <w:spacing w:val="-2"/>
          <w:szCs w:val="28"/>
        </w:rPr>
      </w:pPr>
      <w:r>
        <w:rPr>
          <w:rFonts w:ascii="PT Astra Serif" w:hAnsi="PT Astra Serif"/>
          <w:szCs w:val="28"/>
        </w:rPr>
        <w:t xml:space="preserve">2) </w:t>
      </w:r>
      <w:r>
        <w:rPr>
          <w:rFonts w:ascii="PT Astra Serif" w:hAnsi="PT Astra Serif"/>
          <w:spacing w:val="-2"/>
          <w:szCs w:val="28"/>
        </w:rPr>
        <w:t xml:space="preserve">общий объем р</w:t>
      </w:r>
      <w:r>
        <w:rPr>
          <w:rFonts w:ascii="PT Astra Serif" w:hAnsi="PT Astra Serif"/>
          <w:spacing w:val="-2"/>
          <w:szCs w:val="28"/>
        </w:rPr>
        <w:t xml:space="preserve">асходов краевого бюджета на 2026</w:t>
      </w:r>
      <w:r>
        <w:rPr>
          <w:rFonts w:ascii="PT Astra Serif" w:hAnsi="PT Astra Serif"/>
          <w:spacing w:val="-2"/>
          <w:szCs w:val="28"/>
        </w:rPr>
        <w:t xml:space="preserve"> год в сумме </w:t>
      </w:r>
      <w:r>
        <w:rPr>
          <w:rFonts w:ascii="PT Astra Serif" w:hAnsi="PT Astra Serif"/>
          <w:spacing w:val="-2"/>
          <w:szCs w:val="28"/>
        </w:rPr>
        <w:t xml:space="preserve">180532135,1</w:t>
      </w:r>
      <w:r>
        <w:rPr>
          <w:rFonts w:ascii="PT Astra Serif" w:hAnsi="PT Astra Serif"/>
          <w:spacing w:val="-2"/>
          <w:szCs w:val="28"/>
        </w:rPr>
        <w:t xml:space="preserve"> тыс. рублей и на 2027</w:t>
      </w:r>
      <w:r>
        <w:rPr>
          <w:rFonts w:ascii="PT Astra Serif" w:hAnsi="PT Astra Serif"/>
          <w:spacing w:val="-2"/>
          <w:szCs w:val="28"/>
        </w:rPr>
        <w:t xml:space="preserve"> год в сумме </w:t>
      </w:r>
      <w:r>
        <w:rPr>
          <w:rFonts w:ascii="PT Astra Serif" w:hAnsi="PT Astra Serif"/>
          <w:spacing w:val="-2"/>
          <w:szCs w:val="28"/>
        </w:rPr>
        <w:t xml:space="preserve">177298699,7</w:t>
      </w:r>
      <w:r>
        <w:rPr>
          <w:rFonts w:ascii="PT Astra Serif" w:hAnsi="PT Astra Serif"/>
          <w:spacing w:val="-2"/>
          <w:szCs w:val="28"/>
        </w:rPr>
        <w:t xml:space="preserve"> тыс. рублей;</w:t>
      </w:r>
      <w:r>
        <w:rPr>
          <w:rFonts w:ascii="PT Astra Serif" w:hAnsi="PT Astra Serif"/>
          <w:spacing w:val="-2"/>
          <w:szCs w:val="28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  <w:spacing w:val="-2"/>
          <w:szCs w:val="28"/>
        </w:rPr>
      </w:pPr>
      <w:r>
        <w:rPr>
          <w:rFonts w:ascii="PT Astra Serif" w:hAnsi="PT Astra Serif"/>
          <w:szCs w:val="28"/>
        </w:rPr>
        <w:t xml:space="preserve">3)</w:t>
      </w:r>
      <w:r>
        <w:rPr>
          <w:rFonts w:ascii="PT Astra Serif" w:hAnsi="PT Astra Serif"/>
          <w:szCs w:val="28"/>
        </w:rPr>
        <w:t xml:space="preserve"> дефицит краевого бюдже</w:t>
      </w:r>
      <w:r>
        <w:rPr>
          <w:rFonts w:ascii="PT Astra Serif" w:hAnsi="PT Astra Serif"/>
          <w:szCs w:val="28"/>
        </w:rPr>
        <w:t xml:space="preserve">та на 2026</w:t>
      </w:r>
      <w:r>
        <w:rPr>
          <w:rFonts w:ascii="PT Astra Serif" w:hAnsi="PT Astra Serif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 xml:space="preserve">4637971,2</w:t>
      </w:r>
      <w:r>
        <w:rPr>
          <w:rFonts w:ascii="PT Astra Serif" w:hAnsi="PT Astra Serif"/>
          <w:szCs w:val="28"/>
        </w:rPr>
        <w:t xml:space="preserve"> тыс. рублей и на 2027</w:t>
      </w:r>
      <w:r>
        <w:rPr>
          <w:rFonts w:ascii="PT Astra Serif" w:hAnsi="PT Astra Serif"/>
          <w:szCs w:val="28"/>
        </w:rPr>
        <w:t xml:space="preserve"> год в сумме 0,0 тыс. рублей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>
        <w:rPr>
          <w:rFonts w:ascii="PT Astra Serif" w:hAnsi="PT Astra Serif"/>
          <w:spacing w:val="-2"/>
          <w:szCs w:val="28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3) приложение 1 изложить в </w:t>
      </w:r>
      <w:r>
        <w:rPr>
          <w:rFonts w:ascii="PT Astra Serif" w:hAnsi="PT Astra Serif"/>
        </w:rPr>
        <w:t xml:space="preserve">следующей </w:t>
      </w:r>
      <w:r>
        <w:rPr>
          <w:rFonts w:ascii="PT Astra Serif" w:hAnsi="PT Astra Serif"/>
        </w:rPr>
        <w:t xml:space="preserve">редакции:</w:t>
      </w:r>
      <w:r>
        <w:rPr>
          <w:rFonts w:ascii="PT Astra Serif" w:hAnsi="PT Astra Serif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left="5387" w:hanging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«ПРИЛОЖЕНИЕ 1</w:t>
      </w:r>
      <w:r>
        <w:rPr>
          <w:rFonts w:ascii="PT Astra Serif" w:hAnsi="PT Astra Serif"/>
          <w:szCs w:val="28"/>
        </w:rPr>
      </w:r>
    </w:p>
    <w:p>
      <w:pPr>
        <w:ind w:left="5387" w:hanging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 постановлению Алтайского</w:t>
      </w:r>
      <w:r>
        <w:rPr>
          <w:rFonts w:ascii="PT Astra Serif" w:hAnsi="PT Astra Serif"/>
          <w:szCs w:val="28"/>
        </w:rPr>
      </w:r>
    </w:p>
    <w:p>
      <w:pPr>
        <w:ind w:left="5245" w:hanging="14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краевого Законодательного Собрания </w:t>
      </w:r>
      <w:r>
        <w:rPr>
          <w:rFonts w:ascii="PT Astra Serif" w:hAnsi="PT Astra Serif"/>
          <w:szCs w:val="28"/>
        </w:rPr>
      </w:r>
    </w:p>
    <w:p>
      <w:pPr>
        <w:ind w:left="5245" w:hanging="14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 xml:space="preserve">1</w:t>
      </w:r>
      <w:r>
        <w:rPr>
          <w:rFonts w:ascii="PT Astra Serif" w:hAnsi="PT Astra Serif"/>
          <w:szCs w:val="28"/>
        </w:rPr>
        <w:t xml:space="preserve"> ноября </w:t>
      </w:r>
      <w:r>
        <w:rPr>
          <w:rFonts w:ascii="PT Astra Serif" w:hAnsi="PT Astra Serif"/>
          <w:szCs w:val="28"/>
        </w:rPr>
        <w:t xml:space="preserve">2024</w:t>
      </w:r>
      <w:r>
        <w:rPr>
          <w:rFonts w:ascii="PT Astra Serif" w:hAnsi="PT Astra Serif"/>
          <w:szCs w:val="28"/>
        </w:rPr>
        <w:t xml:space="preserve"> г. № </w:t>
      </w:r>
      <w:r>
        <w:rPr>
          <w:rFonts w:ascii="PT Astra Serif" w:hAnsi="PT Astra Serif"/>
          <w:szCs w:val="28"/>
        </w:rPr>
        <w:t xml:space="preserve">272</w:t>
      </w:r>
      <w:r>
        <w:rPr>
          <w:rFonts w:ascii="PT Astra Serif" w:hAnsi="PT Astra Serif"/>
          <w:szCs w:val="28"/>
        </w:rPr>
      </w:r>
    </w:p>
    <w:p>
      <w:pPr>
        <w:ind w:left="5245" w:hanging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Источники финансирования д</w:t>
      </w:r>
      <w:r>
        <w:rPr>
          <w:rFonts w:ascii="PT Astra Serif" w:hAnsi="PT Astra Serif"/>
          <w:szCs w:val="28"/>
        </w:rPr>
        <w:t xml:space="preserve">ефицита краевого бюджета на 2025</w:t>
      </w:r>
      <w:r>
        <w:rPr>
          <w:rFonts w:ascii="PT Astra Serif" w:hAnsi="PT Astra Serif"/>
          <w:szCs w:val="28"/>
        </w:rPr>
        <w:t xml:space="preserve"> год</w:t>
      </w:r>
      <w:r>
        <w:rPr>
          <w:rFonts w:ascii="PT Astra Serif" w:hAnsi="PT Astra Serif"/>
          <w:szCs w:val="28"/>
        </w:rPr>
      </w:r>
    </w:p>
    <w:p>
      <w:pPr>
        <w:jc w:val="right"/>
        <w:rPr>
          <w:rFonts w:ascii="PT Astra Serif" w:hAnsi="PT Astra Serif"/>
          <w:color w:val="ff0000"/>
          <w:szCs w:val="28"/>
          <w:highlight w:val="yellow"/>
        </w:rPr>
      </w:pPr>
      <w:r>
        <w:rPr>
          <w:rFonts w:ascii="PT Astra Serif" w:hAnsi="PT Astra Serif"/>
          <w:color w:val="ff0000"/>
          <w:szCs w:val="28"/>
          <w:highlight w:val="yellow"/>
        </w:rPr>
      </w:r>
      <w:r>
        <w:rPr>
          <w:rFonts w:ascii="PT Astra Serif" w:hAnsi="PT Astra Serif"/>
          <w:color w:val="ff0000"/>
          <w:szCs w:val="28"/>
          <w:highlight w:val="yellow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080"/>
        <w:gridCol w:w="1559"/>
      </w:tblGrid>
      <w:tr>
        <w:tblPrEx/>
        <w:trPr>
          <w:trHeight w:val="493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Источники финансирования </w:t>
            </w:r>
            <w:r>
              <w:rPr>
                <w:rFonts w:ascii="PT Astra Serif" w:hAnsi="PT Astra Serif"/>
                <w:bCs/>
                <w:sz w:val="24"/>
              </w:rPr>
            </w:r>
          </w:p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дефицита краевого бюджета 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Сумма, </w:t>
            </w:r>
            <w:r>
              <w:rPr>
                <w:rFonts w:ascii="PT Astra Serif" w:hAnsi="PT Astra Serif"/>
                <w:sz w:val="24"/>
              </w:rPr>
              <w:br/>
              <w:t xml:space="preserve">тыс. рублей</w:t>
            </w:r>
            <w:r>
              <w:rPr>
                <w:rFonts w:ascii="PT Astra Serif" w:hAnsi="PT Astra Serif"/>
                <w:sz w:val="24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направленными на их погашение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350000,0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</w:tr>
      <w:tr>
        <w:tblPrEx/>
        <w:trPr>
          <w:trHeight w:val="663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Разница между привлеченными и погашенными субъектом Российской Федерации в валюте Российской Федерации кредитами кредитных </w:t>
            </w:r>
            <w:r>
              <w:rPr>
                <w:rFonts w:ascii="PT Astra Serif" w:hAnsi="PT Astra Serif"/>
                <w:sz w:val="24"/>
              </w:rPr>
              <w:br/>
              <w:t xml:space="preserve">организаций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4935177,0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</w:tr>
      <w:tr>
        <w:tblPrEx/>
        <w:trPr>
          <w:trHeight w:val="821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116827,9</w:t>
            </w:r>
            <w:r>
              <w:rPr>
                <w:rFonts w:ascii="PT Astra Serif" w:hAnsi="PT Astra Serif"/>
                <w:sz w:val="24"/>
              </w:rPr>
            </w:r>
          </w:p>
        </w:tc>
      </w:tr>
      <w:tr>
        <w:tblPrEx/>
        <w:trPr>
          <w:trHeight w:val="407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Изменение остатков средств на счетах по учету средств бюджета </w:t>
            </w:r>
            <w:r>
              <w:rPr>
                <w:rFonts w:ascii="PT Astra Serif" w:hAnsi="PT Astra Serif"/>
                <w:sz w:val="24"/>
              </w:rPr>
              <w:br/>
              <w:t xml:space="preserve">субъекта Российской Федерации в течение финансового года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6013091,9</w:t>
            </w:r>
            <w:r>
              <w:rPr>
                <w:rFonts w:ascii="PT Astra Serif" w:hAnsi="PT Astra Serif"/>
                <w:sz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300000,0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Исполнение государственных гарантий </w:t>
            </w:r>
            <w:r>
              <w:rPr>
                <w:rFonts w:ascii="PT Astra Serif" w:hAnsi="PT Astra Serif"/>
                <w:sz w:val="24"/>
              </w:rPr>
              <w:t xml:space="preserve">в валюте Российской Федерации в </w:t>
            </w:r>
            <w:r>
              <w:rPr>
                <w:rFonts w:ascii="PT Astra Serif" w:hAnsi="PT Astra Serif"/>
                <w:sz w:val="24"/>
              </w:rPr>
              <w:t xml:space="preserve">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-50000,0</w:t>
            </w:r>
            <w:r>
              <w:rPr>
                <w:rFonts w:ascii="PT Astra Serif" w:hAnsi="PT Astra Serif"/>
                <w:sz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W w:w="808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Разница между средствами, полученными от возврата предоставленных из бюджета субъекта Российской Федерации другим бюджетам </w:t>
            </w:r>
            <w:r>
              <w:rPr>
                <w:rFonts w:ascii="PT Astra Serif" w:hAnsi="PT Astra Serif"/>
                <w:sz w:val="24"/>
              </w:rPr>
              <w:br/>
              <w:t xml:space="preserve">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</w:t>
            </w:r>
            <w:r>
              <w:rPr>
                <w:rFonts w:ascii="PT Astra Serif" w:hAnsi="PT Astra Serif"/>
                <w:sz w:val="24"/>
              </w:rPr>
              <w:br/>
              <w:t xml:space="preserve">бюджетных кредитов в валюте Российской Федерации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450000,0»;</w:t>
            </w:r>
            <w:r>
              <w:rPr>
                <w:rFonts w:ascii="PT Astra Serif" w:hAnsi="PT Astra Serif"/>
                <w:sz w:val="24"/>
              </w:rPr>
            </w:r>
          </w:p>
        </w:tc>
      </w:tr>
    </w:tbl>
    <w:p>
      <w:pPr>
        <w:contextualSpacing/>
        <w:ind w:firstLine="709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4) приложение 2 изложить в </w:t>
      </w:r>
      <w:r>
        <w:rPr>
          <w:rFonts w:ascii="PT Astra Serif" w:hAnsi="PT Astra Serif"/>
        </w:rPr>
        <w:t xml:space="preserve">следующей </w:t>
      </w:r>
      <w:r>
        <w:rPr>
          <w:rFonts w:ascii="PT Astra Serif" w:hAnsi="PT Astra Serif"/>
        </w:rPr>
        <w:t xml:space="preserve">редакции:</w:t>
      </w:r>
      <w:r>
        <w:rPr>
          <w:rFonts w:ascii="PT Astra Serif" w:hAnsi="PT Astra Serif"/>
        </w:rPr>
      </w:r>
    </w:p>
    <w:p>
      <w:pPr>
        <w:contextualSpacing/>
        <w:ind w:firstLine="709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left="5387" w:hanging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«ПРИЛОЖЕНИЕ 2</w:t>
      </w:r>
      <w:r>
        <w:rPr>
          <w:rFonts w:ascii="PT Astra Serif" w:hAnsi="PT Astra Serif"/>
          <w:szCs w:val="28"/>
        </w:rPr>
      </w:r>
    </w:p>
    <w:p>
      <w:pPr>
        <w:ind w:left="5387" w:hanging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 постановлению Алтайского</w:t>
      </w:r>
      <w:r>
        <w:rPr>
          <w:rFonts w:ascii="PT Astra Serif" w:hAnsi="PT Astra Serif"/>
          <w:szCs w:val="28"/>
        </w:rPr>
      </w:r>
    </w:p>
    <w:p>
      <w:pPr>
        <w:ind w:left="5245" w:hanging="14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краевого Законодательного Собрания </w:t>
      </w:r>
      <w:r>
        <w:rPr>
          <w:rFonts w:ascii="PT Astra Serif" w:hAnsi="PT Astra Serif"/>
          <w:szCs w:val="28"/>
        </w:rPr>
      </w:r>
    </w:p>
    <w:p>
      <w:pPr>
        <w:ind w:left="5245" w:hanging="142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 xml:space="preserve">1</w:t>
      </w:r>
      <w:r>
        <w:rPr>
          <w:rFonts w:ascii="PT Astra Serif" w:hAnsi="PT Astra Serif"/>
          <w:szCs w:val="28"/>
        </w:rPr>
        <w:t xml:space="preserve"> ноября </w:t>
      </w:r>
      <w:r>
        <w:rPr>
          <w:rFonts w:ascii="PT Astra Serif" w:hAnsi="PT Astra Serif"/>
          <w:szCs w:val="28"/>
        </w:rPr>
        <w:t xml:space="preserve">2024</w:t>
      </w:r>
      <w:r>
        <w:rPr>
          <w:rFonts w:ascii="PT Astra Serif" w:hAnsi="PT Astra Serif"/>
          <w:szCs w:val="28"/>
        </w:rPr>
        <w:t xml:space="preserve"> г. </w:t>
      </w:r>
      <w:r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 xml:space="preserve">272</w:t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  <w:highlight w:val="yellow"/>
        </w:rPr>
      </w:pPr>
      <w:r>
        <w:rPr>
          <w:rFonts w:ascii="PT Astra Serif" w:hAnsi="PT Astra Serif"/>
          <w:highlight w:val="yellow"/>
        </w:rPr>
      </w:r>
      <w:r>
        <w:rPr>
          <w:rFonts w:ascii="PT Astra Serif" w:hAnsi="PT Astra Serif"/>
          <w:highlight w:val="yellow"/>
        </w:rPr>
      </w:r>
    </w:p>
    <w:p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Источники финансирования дефицита краевого бюджета </w:t>
      </w:r>
      <w:r>
        <w:rPr>
          <w:rFonts w:ascii="PT Astra Serif" w:hAnsi="PT Astra Serif"/>
          <w:szCs w:val="28"/>
        </w:rPr>
      </w:r>
    </w:p>
    <w:p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на плановый период 202</w:t>
      </w:r>
      <w:r>
        <w:rPr>
          <w:rFonts w:ascii="PT Astra Serif" w:hAnsi="PT Astra Serif"/>
          <w:szCs w:val="28"/>
        </w:rPr>
        <w:t xml:space="preserve">6</w:t>
      </w:r>
      <w:r>
        <w:rPr>
          <w:rFonts w:ascii="PT Astra Serif" w:hAnsi="PT Astra Serif"/>
          <w:szCs w:val="28"/>
        </w:rPr>
        <w:t xml:space="preserve"> и 202</w:t>
      </w:r>
      <w:r>
        <w:rPr>
          <w:rFonts w:ascii="PT Astra Serif" w:hAnsi="PT Astra Serif"/>
          <w:szCs w:val="28"/>
        </w:rPr>
        <w:t xml:space="preserve">7</w:t>
      </w:r>
      <w:r>
        <w:rPr>
          <w:rFonts w:ascii="PT Astra Serif" w:hAnsi="PT Astra Serif"/>
          <w:szCs w:val="28"/>
        </w:rPr>
        <w:t xml:space="preserve"> годов</w:t>
      </w:r>
      <w:r>
        <w:rPr>
          <w:rFonts w:ascii="PT Astra Serif" w:hAnsi="PT Astra Serif"/>
          <w:szCs w:val="28"/>
        </w:rPr>
      </w:r>
    </w:p>
    <w:p>
      <w:pPr>
        <w:ind w:right="-186"/>
        <w:jc w:val="right"/>
        <w:rPr>
          <w:rFonts w:ascii="PT Astra Serif" w:hAnsi="PT Astra Serif"/>
          <w:highlight w:val="yellow"/>
        </w:rPr>
      </w:pPr>
      <w:r>
        <w:rPr>
          <w:rFonts w:ascii="PT Astra Serif" w:hAnsi="PT Astra Serif"/>
          <w:highlight w:val="yellow"/>
        </w:rPr>
      </w:r>
      <w:r>
        <w:rPr>
          <w:rFonts w:ascii="PT Astra Serif" w:hAnsi="PT Astra Serif"/>
          <w:highlight w:val="yellow"/>
        </w:rPr>
      </w:r>
    </w:p>
    <w:tbl>
      <w:tblPr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86"/>
        <w:gridCol w:w="1701"/>
        <w:gridCol w:w="1701"/>
      </w:tblGrid>
      <w:tr>
        <w:tblPrEx/>
        <w:trPr>
          <w:jc w:val="center"/>
          <w:trHeight w:val="64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Источники финансирования</w:t>
            </w:r>
            <w:r>
              <w:rPr>
                <w:rFonts w:ascii="PT Astra Serif" w:hAnsi="PT Astra Serif"/>
                <w:bCs/>
                <w:sz w:val="24"/>
              </w:rPr>
            </w:r>
          </w:p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дефицита краевого бюджета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Сумма </w:t>
            </w:r>
            <w:r>
              <w:rPr>
                <w:rFonts w:ascii="PT Astra Serif" w:hAnsi="PT Astra Serif"/>
                <w:sz w:val="24"/>
              </w:rPr>
              <w:br/>
              <w:t xml:space="preserve">на 2026 год, тыс. рублей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Сумма </w:t>
            </w:r>
            <w:r>
              <w:rPr>
                <w:rFonts w:ascii="PT Astra Serif" w:hAnsi="PT Astra Serif"/>
                <w:sz w:val="24"/>
              </w:rPr>
              <w:br/>
              <w:t xml:space="preserve">на 2027 год, тыс. рублей </w:t>
            </w:r>
            <w:r>
              <w:rPr>
                <w:rFonts w:ascii="PT Astra Serif" w:hAnsi="PT Astra Serif"/>
                <w:sz w:val="24"/>
              </w:rPr>
            </w:r>
          </w:p>
        </w:tc>
      </w:tr>
      <w:tr>
        <w:tblPrEx/>
        <w:trPr>
          <w:jc w:val="center"/>
          <w:trHeight w:val="5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Разница между привлеченными и погашенными субъектом Российской Федерации в валюте Российской </w:t>
            </w:r>
            <w:r>
              <w:rPr>
                <w:rFonts w:ascii="PT Astra Serif" w:hAnsi="PT Astra Serif"/>
                <w:sz w:val="24"/>
              </w:rPr>
              <w:br/>
              <w:t xml:space="preserve">Федерации кредитами кредитных организаций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510000,0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300000,0</w:t>
            </w:r>
            <w:r>
              <w:rPr>
                <w:rFonts w:ascii="PT Astra Serif" w:hAnsi="PT Astra Serif"/>
                <w:sz w:val="24"/>
              </w:rPr>
            </w:r>
          </w:p>
        </w:tc>
      </w:tr>
      <w:tr>
        <w:tblPrEx/>
        <w:trPr>
          <w:jc w:val="center"/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Разница между привлеченными и погашенными субъектом Российской Федерации в валюте Российской </w:t>
            </w:r>
            <w:r>
              <w:rPr>
                <w:rFonts w:ascii="PT Astra Serif" w:hAnsi="PT Astra Serif"/>
                <w:sz w:val="24"/>
              </w:rPr>
              <w:br/>
              <w:t xml:space="preserve">Федерации бюджетными кредитами, предоставленными </w:t>
            </w:r>
            <w:r>
              <w:rPr>
                <w:rFonts w:ascii="PT Astra Serif" w:hAnsi="PT Astra Serif"/>
                <w:sz w:val="24"/>
              </w:rPr>
              <w:br/>
              <w:t xml:space="preserve">бюджету субъекта Российской Федерации другими </w:t>
            </w:r>
            <w:r>
              <w:rPr>
                <w:rFonts w:ascii="PT Astra Serif" w:hAnsi="PT Astra Serif"/>
                <w:sz w:val="24"/>
              </w:rPr>
              <w:br/>
              <w:t xml:space="preserve">бюджетами бюджетной системы Российской Федерации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-1044364,5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-1108301,5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</w:tr>
      <w:tr>
        <w:tblPrEx/>
        <w:trPr>
          <w:jc w:val="center"/>
          <w:trHeight w:val="60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Изменение остатков средств на счетах по учету средств бюджета субъекта Российской Федерации в течение </w:t>
            </w:r>
            <w:r>
              <w:rPr>
                <w:rFonts w:ascii="PT Astra Serif" w:hAnsi="PT Astra Serif"/>
                <w:sz w:val="24"/>
              </w:rPr>
              <w:br/>
              <w:t xml:space="preserve">финансового года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4659435,7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758301,5</w:t>
            </w:r>
            <w:r>
              <w:rPr>
                <w:rFonts w:ascii="PT Astra Serif" w:hAnsi="PT Astra Serif"/>
                <w:bCs/>
                <w:sz w:val="24"/>
              </w:rPr>
            </w:r>
          </w:p>
        </w:tc>
      </w:tr>
      <w:tr>
        <w:tblPrEx/>
        <w:trPr>
          <w:jc w:val="center"/>
          <w:trHeight w:val="6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внутреннего финансирования дефицита бюджета субъекта Российской Федерации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512900,0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50000,0</w:t>
            </w:r>
            <w:r>
              <w:rPr>
                <w:rFonts w:ascii="PT Astra Serif" w:hAnsi="PT Astra Serif"/>
                <w:sz w:val="24"/>
              </w:rPr>
            </w:r>
          </w:p>
        </w:tc>
      </w:tr>
      <w:tr>
        <w:tblPrEx/>
        <w:trPr>
          <w:jc w:val="center"/>
          <w:trHeight w:val="4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6" w:type="dxa"/>
            <w:textDirection w:val="lrTb"/>
            <w:noWrap w:val="false"/>
          </w:tcPr>
          <w:p>
            <w:pPr>
              <w:ind w:left="284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средства от продажи акций и иных форм участия </w:t>
            </w:r>
            <w:r>
              <w:rPr>
                <w:rFonts w:ascii="PT Astra Serif" w:hAnsi="PT Astra Serif"/>
                <w:sz w:val="24"/>
              </w:rPr>
              <w:br/>
              <w:t xml:space="preserve">в капитале, находящихся в собственности субъектов Российской Федерации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355000,0</w:t>
            </w: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0,0».</w:t>
            </w:r>
            <w:r>
              <w:rPr>
                <w:rFonts w:ascii="PT Astra Serif" w:hAnsi="PT Astra Serif"/>
                <w:sz w:val="24"/>
              </w:rPr>
            </w:r>
          </w:p>
        </w:tc>
      </w:tr>
    </w:tbl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757"/>
        <w:tblpPr w:horzAnchor="margin" w:tblpX="108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А.А. Романенко</w:t>
            </w:r>
            <w:r>
              <w:rPr>
                <w:rFonts w:ascii="PT Astra Serif" w:hAnsi="PT Astra Serif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58"/>
          <w:jc w:val="right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sz w:val="24"/>
            <w:szCs w:val="24"/>
          </w:rPr>
          <w:t xml:space="preserve">2</w:t>
        </w:r>
        <w:r>
          <w:rPr>
            <w:rFonts w:ascii="PT Astra Serif" w:hAnsi="PT Astra Serif"/>
            <w:sz w:val="24"/>
            <w:szCs w:val="24"/>
          </w:rPr>
          <w:fldChar w:fldCharType="end"/>
        </w:r>
        <w:r>
          <w:rPr>
            <w:rFonts w:ascii="PT Astra Serif" w:hAnsi="PT Astra Serif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2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Style w:val="757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20"/>
        <w:tabs>
          <w:tab w:val="num" w:pos="110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720"/>
        <w:tabs>
          <w:tab w:val="num" w:pos="1134" w:leader="none"/>
        </w:tabs>
      </w:pPr>
      <w:rPr>
        <w:rFonts w:hint="default"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0"/>
    <w:next w:val="7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5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0"/>
    <w:next w:val="7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0"/>
    <w:next w:val="7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0"/>
    <w:next w:val="7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0"/>
    <w:next w:val="7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0"/>
    <w:next w:val="7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0"/>
    <w:next w:val="7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0"/>
    <w:next w:val="7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3"/>
    <w:link w:val="34"/>
    <w:uiPriority w:val="10"/>
    <w:rPr>
      <w:sz w:val="48"/>
      <w:szCs w:val="48"/>
    </w:rPr>
  </w:style>
  <w:style w:type="paragraph" w:styleId="36">
    <w:name w:val="Subtitle"/>
    <w:basedOn w:val="750"/>
    <w:next w:val="7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rPr>
      <w:sz w:val="24"/>
      <w:szCs w:val="24"/>
    </w:rPr>
  </w:style>
  <w:style w:type="paragraph" w:styleId="38">
    <w:name w:val="Quote"/>
    <w:basedOn w:val="750"/>
    <w:next w:val="7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0"/>
    <w:next w:val="7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3"/>
    <w:link w:val="758"/>
    <w:uiPriority w:val="99"/>
  </w:style>
  <w:style w:type="character" w:styleId="45">
    <w:name w:val="Footer Char"/>
    <w:basedOn w:val="753"/>
    <w:link w:val="760"/>
    <w:uiPriority w:val="99"/>
  </w:style>
  <w:style w:type="paragraph" w:styleId="46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3"/>
    <w:uiPriority w:val="99"/>
    <w:unhideWhenUsed/>
    <w:rPr>
      <w:vertAlign w:val="superscript"/>
    </w:rPr>
  </w:style>
  <w:style w:type="paragraph" w:styleId="178">
    <w:name w:val="endnote text"/>
    <w:basedOn w:val="7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50"/>
    <w:next w:val="7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0"/>
    <w:next w:val="7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0"/>
    <w:next w:val="7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0"/>
    <w:next w:val="7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0"/>
    <w:next w:val="7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0"/>
    <w:next w:val="7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0"/>
    <w:next w:val="7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0"/>
    <w:next w:val="7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0"/>
    <w:next w:val="7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0"/>
    <w:next w:val="750"/>
    <w:uiPriority w:val="99"/>
    <w:unhideWhenUsed/>
    <w:pPr>
      <w:spacing w:after="0" w:afterAutospacing="0"/>
    </w:pPr>
  </w:style>
  <w:style w:type="paragraph" w:styleId="7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1">
    <w:name w:val="Heading 2"/>
    <w:basedOn w:val="750"/>
    <w:next w:val="750"/>
    <w:link w:val="764"/>
    <w:qFormat/>
    <w:pPr>
      <w:jc w:val="center"/>
      <w:keepNext/>
      <w:outlineLvl w:val="1"/>
    </w:pPr>
    <w:rPr>
      <w:b/>
      <w:spacing w:val="80"/>
      <w:sz w:val="36"/>
    </w:rPr>
  </w:style>
  <w:style w:type="paragraph" w:styleId="752">
    <w:name w:val="Heading 5"/>
    <w:basedOn w:val="750"/>
    <w:next w:val="750"/>
    <w:link w:val="756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5 Знак"/>
    <w:basedOn w:val="753"/>
    <w:link w:val="752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57">
    <w:name w:val="Table Grid"/>
    <w:basedOn w:val="7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>
    <w:name w:val="Header"/>
    <w:basedOn w:val="750"/>
    <w:link w:val="7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9" w:customStyle="1">
    <w:name w:val="Верхний колонтитул Знак"/>
    <w:basedOn w:val="753"/>
    <w:link w:val="75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0">
    <w:name w:val="Footer"/>
    <w:basedOn w:val="750"/>
    <w:link w:val="7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1" w:customStyle="1">
    <w:name w:val="Нижний колонтитул Знак"/>
    <w:basedOn w:val="753"/>
    <w:link w:val="7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2">
    <w:name w:val="Balloon Text"/>
    <w:basedOn w:val="750"/>
    <w:link w:val="7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63" w:customStyle="1">
    <w:name w:val="Текст выноски Знак"/>
    <w:basedOn w:val="753"/>
    <w:link w:val="7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64" w:customStyle="1">
    <w:name w:val="Заголовок 2 Знак"/>
    <w:basedOn w:val="753"/>
    <w:link w:val="751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65">
    <w:name w:val="Placeholder Text"/>
    <w:basedOn w:val="753"/>
    <w:uiPriority w:val="99"/>
    <w:semiHidden/>
    <w:rPr>
      <w:color w:val="808080"/>
    </w:rPr>
  </w:style>
  <w:style w:type="paragraph" w:styleId="766">
    <w:name w:val="Plain Text"/>
    <w:basedOn w:val="750"/>
    <w:link w:val="767"/>
    <w:pPr>
      <w:widowControl w:val="off"/>
    </w:pPr>
    <w:rPr>
      <w:rFonts w:ascii="Courier New" w:hAnsi="Courier New" w:cs="Courier New"/>
      <w:sz w:val="20"/>
    </w:rPr>
  </w:style>
  <w:style w:type="character" w:styleId="767" w:customStyle="1">
    <w:name w:val="Текст Знак"/>
    <w:basedOn w:val="753"/>
    <w:link w:val="766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68">
    <w:name w:val="List Paragraph"/>
    <w:basedOn w:val="75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54</cp:revision>
  <dcterms:created xsi:type="dcterms:W3CDTF">2018-11-21T05:57:00Z</dcterms:created>
  <dcterms:modified xsi:type="dcterms:W3CDTF">2024-11-22T09:48:03Z</dcterms:modified>
</cp:coreProperties>
</file>